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130"/>
        <w:gridCol w:w="146"/>
        <w:gridCol w:w="3508"/>
      </w:tblGrid>
      <w:tr w:rsidR="002D28F1" w:rsidTr="008D4DD4">
        <w:trPr>
          <w:trHeight w:hRule="exact" w:val="14490"/>
          <w:jc w:val="center"/>
        </w:trPr>
        <w:tc>
          <w:tcPr>
            <w:tcW w:w="713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130"/>
            </w:tblGrid>
            <w:tr w:rsidR="002D28F1" w:rsidTr="001A4DB8">
              <w:trPr>
                <w:cantSplit/>
                <w:trHeight w:hRule="exact" w:val="119"/>
              </w:trPr>
              <w:tc>
                <w:tcPr>
                  <w:tcW w:w="7310" w:type="dxa"/>
                </w:tcPr>
                <w:p w:rsidR="002D28F1" w:rsidRDefault="002D28F1"/>
              </w:tc>
            </w:tr>
            <w:tr w:rsidR="002D28F1" w:rsidTr="001A4DB8">
              <w:trPr>
                <w:trHeight w:hRule="exact" w:val="14272"/>
              </w:trPr>
              <w:tc>
                <w:tcPr>
                  <w:tcW w:w="7310" w:type="dxa"/>
                </w:tcPr>
                <w:p w:rsidR="002D28F1" w:rsidRPr="00D6450B" w:rsidRDefault="00EE0D80">
                  <w:pPr>
                    <w:pStyle w:val="Subtitle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Digital SSr</w:t>
                  </w:r>
                </w:p>
                <w:p w:rsidR="00401271" w:rsidRDefault="00EE0D80" w:rsidP="00401271">
                  <w:pPr>
                    <w:pStyle w:val="Title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Using symbaloo</w:t>
                  </w:r>
                </w:p>
                <w:p w:rsidR="00D324E5" w:rsidRPr="00D324E5" w:rsidRDefault="00D324E5" w:rsidP="00D324E5">
                  <w:pPr>
                    <w:rPr>
                      <w:b/>
                      <w:color w:val="auto"/>
                    </w:rPr>
                  </w:pPr>
                  <w:r w:rsidRPr="00D324E5">
                    <w:rPr>
                      <w:b/>
                      <w:color w:val="auto"/>
                    </w:rPr>
                    <w:t>________________________</w:t>
                  </w:r>
                  <w:r w:rsidR="008D4DD4">
                    <w:rPr>
                      <w:b/>
                      <w:color w:val="auto"/>
                    </w:rPr>
                    <w:t>_______________________________</w:t>
                  </w:r>
                </w:p>
                <w:p w:rsidR="00E45609" w:rsidRPr="004A1212" w:rsidRDefault="00D324E5" w:rsidP="00EE0D80">
                  <w:pPr>
                    <w:rPr>
                      <w:sz w:val="36"/>
                      <w:szCs w:val="36"/>
                    </w:rPr>
                  </w:pPr>
                  <w:r w:rsidRPr="004A1212">
                    <w:rPr>
                      <w:b/>
                      <w:sz w:val="36"/>
                      <w:szCs w:val="36"/>
                    </w:rPr>
                    <w:t>Student Expectation</w:t>
                  </w:r>
                  <w:r w:rsidRPr="004A1212">
                    <w:rPr>
                      <w:sz w:val="36"/>
                      <w:szCs w:val="36"/>
                    </w:rPr>
                    <w:t xml:space="preserve"> – </w:t>
                  </w:r>
                  <w:r w:rsidR="00EE0D80" w:rsidRPr="004A1212">
                    <w:rPr>
                      <w:sz w:val="36"/>
                      <w:szCs w:val="36"/>
                    </w:rPr>
                    <w:t>3.11 (A) read independently for a sustained period of time a</w:t>
                  </w:r>
                  <w:r w:rsidR="004A1212" w:rsidRPr="004A1212">
                    <w:rPr>
                      <w:sz w:val="36"/>
                      <w:szCs w:val="36"/>
                    </w:rPr>
                    <w:t xml:space="preserve">nd paraphrase what the reading </w:t>
                  </w:r>
                  <w:r w:rsidR="00EE0D80" w:rsidRPr="004A1212">
                    <w:rPr>
                      <w:sz w:val="36"/>
                      <w:szCs w:val="36"/>
                    </w:rPr>
                    <w:t>was about, maintaining meaning and logical order. 3.20 (C) write responses to literary or expository texts that demonstrate an understanding of the text.</w:t>
                  </w:r>
                </w:p>
                <w:p w:rsidR="00BE452C" w:rsidRPr="004A1212" w:rsidRDefault="0055137E" w:rsidP="00401271">
                  <w:pPr>
                    <w:rPr>
                      <w:sz w:val="36"/>
                      <w:szCs w:val="36"/>
                    </w:rPr>
                  </w:pPr>
                  <w:r w:rsidRPr="004A1212">
                    <w:rPr>
                      <w:sz w:val="36"/>
                      <w:szCs w:val="36"/>
                    </w:rPr>
                    <w:t xml:space="preserve">Students will use </w:t>
                  </w:r>
                  <w:r w:rsidR="00EE0D80" w:rsidRPr="004A1212">
                    <w:rPr>
                      <w:sz w:val="36"/>
                      <w:szCs w:val="36"/>
                    </w:rPr>
                    <w:t>the Digital SSR Symbaloo Webmix to choose preferred text and reflection tool</w:t>
                  </w:r>
                  <w:r w:rsidR="008D4DD4">
                    <w:rPr>
                      <w:sz w:val="36"/>
                      <w:szCs w:val="36"/>
                    </w:rPr>
                    <w:t>s. 1-3</w:t>
                  </w:r>
                  <w:r w:rsidR="004A1212" w:rsidRPr="004A1212">
                    <w:rPr>
                      <w:sz w:val="36"/>
                      <w:szCs w:val="36"/>
                    </w:rPr>
                    <w:t xml:space="preserve"> student products will be submitted each week.</w:t>
                  </w:r>
                </w:p>
                <w:p w:rsidR="00D324E5" w:rsidRPr="004A1212" w:rsidRDefault="008D4DD4" w:rsidP="00401271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Click </w:t>
                  </w:r>
                  <w:hyperlink r:id="rId6" w:history="1">
                    <w:r w:rsidRPr="008D4DD4">
                      <w:rPr>
                        <w:rStyle w:val="Hyperlink"/>
                        <w:sz w:val="36"/>
                        <w:szCs w:val="36"/>
                      </w:rPr>
                      <w:t>here</w:t>
                    </w:r>
                  </w:hyperlink>
                  <w:r>
                    <w:rPr>
                      <w:sz w:val="36"/>
                      <w:szCs w:val="36"/>
                    </w:rPr>
                    <w:t xml:space="preserve"> to view a</w:t>
                  </w:r>
                  <w:r w:rsidR="004A1212" w:rsidRPr="004A1212">
                    <w:rPr>
                      <w:sz w:val="36"/>
                      <w:szCs w:val="36"/>
                    </w:rPr>
                    <w:t xml:space="preserve"> guide </w:t>
                  </w:r>
                  <w:r>
                    <w:rPr>
                      <w:sz w:val="36"/>
                      <w:szCs w:val="36"/>
                    </w:rPr>
                    <w:t>that will help you navigate through the Webmix.</w:t>
                  </w:r>
                </w:p>
                <w:p w:rsidR="00820324" w:rsidRPr="00F82F95" w:rsidRDefault="008D4DD4" w:rsidP="00401271">
                  <w:pPr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8240" behindDoc="1" locked="0" layoutInCell="1" allowOverlap="1" wp14:anchorId="4B0AB260" wp14:editId="7469E3CA">
                        <wp:simplePos x="0" y="0"/>
                        <wp:positionH relativeFrom="column">
                          <wp:posOffset>23495</wp:posOffset>
                        </wp:positionH>
                        <wp:positionV relativeFrom="paragraph">
                          <wp:posOffset>334010</wp:posOffset>
                        </wp:positionV>
                        <wp:extent cx="4400550" cy="2604770"/>
                        <wp:effectExtent l="0" t="0" r="0" b="5080"/>
                        <wp:wrapTight wrapText="bothSides">
                          <wp:wrapPolygon edited="0">
                            <wp:start x="0" y="0"/>
                            <wp:lineTo x="0" y="21484"/>
                            <wp:lineTo x="21506" y="21484"/>
                            <wp:lineTo x="21506" y="0"/>
                            <wp:lineTo x="0" y="0"/>
                          </wp:wrapPolygon>
                        </wp:wrapTight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00550" cy="26047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w:r>
                </w:p>
                <w:p w:rsidR="00F82F95" w:rsidRDefault="00F82F95" w:rsidP="00401271">
                  <w:pPr>
                    <w:rPr>
                      <w:sz w:val="36"/>
                      <w:szCs w:val="36"/>
                    </w:rPr>
                  </w:pPr>
                </w:p>
                <w:p w:rsidR="00BE452C" w:rsidRPr="00401271" w:rsidRDefault="00BE452C" w:rsidP="00F82F9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E659F" w:rsidTr="001A4DB8">
              <w:trPr>
                <w:trHeight w:hRule="exact" w:val="11646"/>
              </w:trPr>
              <w:tc>
                <w:tcPr>
                  <w:tcW w:w="7310" w:type="dxa"/>
                </w:tcPr>
                <w:p w:rsidR="005E659F" w:rsidRPr="00D6450B" w:rsidRDefault="005E659F">
                  <w:pPr>
                    <w:pStyle w:val="Subtitle"/>
                    <w:rPr>
                      <w:sz w:val="96"/>
                      <w:szCs w:val="96"/>
                    </w:rPr>
                  </w:pPr>
                </w:p>
              </w:tc>
            </w:tr>
            <w:tr w:rsidR="005E659F" w:rsidTr="001A4DB8">
              <w:trPr>
                <w:trHeight w:hRule="exact" w:val="5796"/>
              </w:trPr>
              <w:tc>
                <w:tcPr>
                  <w:tcW w:w="7310" w:type="dxa"/>
                </w:tcPr>
                <w:p w:rsidR="005E659F" w:rsidRPr="00D6450B" w:rsidRDefault="005E659F">
                  <w:pPr>
                    <w:pStyle w:val="Subtitle"/>
                    <w:rPr>
                      <w:sz w:val="96"/>
                      <w:szCs w:val="96"/>
                    </w:rPr>
                  </w:pPr>
                </w:p>
              </w:tc>
            </w:tr>
            <w:tr w:rsidR="005E659F" w:rsidTr="001A4DB8">
              <w:trPr>
                <w:trHeight w:hRule="exact" w:val="5796"/>
              </w:trPr>
              <w:tc>
                <w:tcPr>
                  <w:tcW w:w="7310" w:type="dxa"/>
                </w:tcPr>
                <w:p w:rsidR="005E659F" w:rsidRPr="00D6450B" w:rsidRDefault="005E659F">
                  <w:pPr>
                    <w:pStyle w:val="Subtitle"/>
                    <w:rPr>
                      <w:sz w:val="96"/>
                      <w:szCs w:val="96"/>
                    </w:rPr>
                  </w:pPr>
                </w:p>
              </w:tc>
            </w:tr>
            <w:tr w:rsidR="005E659F" w:rsidTr="001A4DB8">
              <w:trPr>
                <w:trHeight w:hRule="exact" w:val="5796"/>
              </w:trPr>
              <w:tc>
                <w:tcPr>
                  <w:tcW w:w="7310" w:type="dxa"/>
                </w:tcPr>
                <w:p w:rsidR="005E659F" w:rsidRPr="00D6450B" w:rsidRDefault="005E659F">
                  <w:pPr>
                    <w:pStyle w:val="Subtitle"/>
                    <w:rPr>
                      <w:sz w:val="96"/>
                      <w:szCs w:val="96"/>
                    </w:rPr>
                  </w:pPr>
                </w:p>
              </w:tc>
            </w:tr>
            <w:tr w:rsidR="002D28F1" w:rsidTr="001A4DB8">
              <w:trPr>
                <w:trHeight w:hRule="exact" w:val="1449"/>
              </w:trPr>
              <w:tc>
                <w:tcPr>
                  <w:tcW w:w="7310" w:type="dxa"/>
                  <w:vAlign w:val="bottom"/>
                </w:tcPr>
                <w:p w:rsidR="002D28F1" w:rsidRPr="00D6450B" w:rsidRDefault="002D28F1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2D28F1" w:rsidRDefault="002D28F1"/>
        </w:tc>
        <w:tc>
          <w:tcPr>
            <w:tcW w:w="146" w:type="dxa"/>
          </w:tcPr>
          <w:p w:rsidR="002D28F1" w:rsidRDefault="002D28F1"/>
        </w:tc>
        <w:tc>
          <w:tcPr>
            <w:tcW w:w="3508" w:type="dxa"/>
          </w:tcPr>
          <w:tbl>
            <w:tblPr>
              <w:tblW w:w="3880" w:type="dxa"/>
              <w:tblInd w:w="4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880"/>
            </w:tblGrid>
            <w:tr w:rsidR="002D28F1" w:rsidTr="00BE452C">
              <w:trPr>
                <w:trHeight w:hRule="exact" w:val="14229"/>
              </w:trPr>
              <w:tc>
                <w:tcPr>
                  <w:tcW w:w="3880" w:type="dxa"/>
                  <w:shd w:val="clear" w:color="auto" w:fill="F5A219" w:themeFill="accent2"/>
                  <w:vAlign w:val="center"/>
                </w:tcPr>
                <w:p w:rsidR="002D28F1" w:rsidRPr="00BE452C" w:rsidRDefault="008D4DD4" w:rsidP="00401271">
                  <w:pPr>
                    <w:pStyle w:val="Heading2"/>
                    <w:numPr>
                      <w:ilvl w:val="0"/>
                      <w:numId w:val="1"/>
                    </w:numPr>
                    <w:ind w:left="352" w:right="432"/>
                    <w:jc w:val="left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>Choose a fiction or non-fiction digital story to read from the Webmix.</w:t>
                  </w:r>
                </w:p>
                <w:p w:rsidR="001A0ED6" w:rsidRPr="00BE452C" w:rsidRDefault="001A0ED6" w:rsidP="001A0ED6">
                  <w:pPr>
                    <w:pStyle w:val="Line"/>
                    <w:rPr>
                      <w:sz w:val="28"/>
                      <w:szCs w:val="28"/>
                    </w:rPr>
                  </w:pPr>
                </w:p>
                <w:p w:rsidR="002D28F1" w:rsidRPr="00BE452C" w:rsidRDefault="008D4DD4" w:rsidP="00BE452C">
                  <w:pPr>
                    <w:pStyle w:val="Heading2"/>
                    <w:numPr>
                      <w:ilvl w:val="0"/>
                      <w:numId w:val="1"/>
                    </w:numPr>
                    <w:ind w:left="352" w:right="342"/>
                    <w:jc w:val="left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>Choose an appropriate tool to summarize what you have read or practice a reading strategy to be determined by your teacher.</w:t>
                  </w:r>
                </w:p>
                <w:p w:rsidR="001A0ED6" w:rsidRPr="00BE452C" w:rsidRDefault="001A0ED6" w:rsidP="001A0ED6">
                  <w:pPr>
                    <w:pStyle w:val="Line"/>
                    <w:rPr>
                      <w:sz w:val="28"/>
                      <w:szCs w:val="28"/>
                    </w:rPr>
                  </w:pPr>
                </w:p>
                <w:p w:rsidR="001A0ED6" w:rsidRPr="00BE452C" w:rsidRDefault="008D4DD4" w:rsidP="00BE452C">
                  <w:pPr>
                    <w:pStyle w:val="Heading2"/>
                    <w:numPr>
                      <w:ilvl w:val="0"/>
                      <w:numId w:val="1"/>
                    </w:numPr>
                    <w:ind w:left="378" w:right="342"/>
                    <w:jc w:val="left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color w:val="auto"/>
                      <w:sz w:val="28"/>
                      <w:szCs w:val="28"/>
                    </w:rPr>
                    <w:t>Submit 1-3 products each week, depending on the length of the text you have chosen.</w:t>
                  </w:r>
                </w:p>
                <w:p w:rsidR="00E45609" w:rsidRPr="00BE452C" w:rsidRDefault="00E45609" w:rsidP="00E45609">
                  <w:pPr>
                    <w:pStyle w:val="Line"/>
                    <w:rPr>
                      <w:sz w:val="28"/>
                      <w:szCs w:val="28"/>
                    </w:rPr>
                  </w:pPr>
                </w:p>
                <w:p w:rsidR="002D28F1" w:rsidRPr="00BE452C" w:rsidRDefault="002D28F1" w:rsidP="008D4DD4">
                  <w:pPr>
                    <w:pStyle w:val="Heading2"/>
                    <w:ind w:left="378" w:right="342"/>
                    <w:jc w:val="left"/>
                    <w:rPr>
                      <w:color w:val="auto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2D28F1" w:rsidRDefault="002D28F1" w:rsidP="00E417BA">
                  <w:pPr>
                    <w:pStyle w:val="Heading2"/>
                    <w:ind w:left="378"/>
                    <w:jc w:val="left"/>
                  </w:pPr>
                </w:p>
              </w:tc>
            </w:tr>
            <w:tr w:rsidR="002D28F1" w:rsidTr="00401271">
              <w:trPr>
                <w:trHeight w:hRule="exact" w:val="144"/>
              </w:trPr>
              <w:tc>
                <w:tcPr>
                  <w:tcW w:w="3880" w:type="dxa"/>
                </w:tcPr>
                <w:p w:rsidR="002D28F1" w:rsidRDefault="002D28F1"/>
              </w:tc>
            </w:tr>
          </w:tbl>
          <w:p w:rsidR="002D28F1" w:rsidRDefault="002D28F1"/>
        </w:tc>
      </w:tr>
    </w:tbl>
    <w:p w:rsidR="002D28F1" w:rsidRDefault="002D28F1">
      <w:pPr>
        <w:pStyle w:val="NoSpacing"/>
      </w:pPr>
    </w:p>
    <w:sectPr w:rsidR="002D28F1" w:rsidSect="00401271"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10175"/>
    <w:multiLevelType w:val="hybridMultilevel"/>
    <w:tmpl w:val="059EC89A"/>
    <w:lvl w:ilvl="0" w:tplc="5B624B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F210D"/>
    <w:multiLevelType w:val="hybridMultilevel"/>
    <w:tmpl w:val="D2E4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20"/>
    <w:rsid w:val="00073D39"/>
    <w:rsid w:val="001222D5"/>
    <w:rsid w:val="001657BE"/>
    <w:rsid w:val="001A0ED6"/>
    <w:rsid w:val="001A4DB8"/>
    <w:rsid w:val="002D28F1"/>
    <w:rsid w:val="00401271"/>
    <w:rsid w:val="004A1212"/>
    <w:rsid w:val="0055137E"/>
    <w:rsid w:val="005E659F"/>
    <w:rsid w:val="0066485C"/>
    <w:rsid w:val="0069177F"/>
    <w:rsid w:val="006E617F"/>
    <w:rsid w:val="007F1902"/>
    <w:rsid w:val="00820324"/>
    <w:rsid w:val="008D4DD4"/>
    <w:rsid w:val="009B7CB8"/>
    <w:rsid w:val="00B50B65"/>
    <w:rsid w:val="00BE452C"/>
    <w:rsid w:val="00D24720"/>
    <w:rsid w:val="00D324E5"/>
    <w:rsid w:val="00D6450B"/>
    <w:rsid w:val="00E40A56"/>
    <w:rsid w:val="00E417BA"/>
    <w:rsid w:val="00E45609"/>
    <w:rsid w:val="00EE0D80"/>
    <w:rsid w:val="00F73EF2"/>
    <w:rsid w:val="00F82F95"/>
    <w:rsid w:val="00F9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0DD81-8097-4C90-882A-BED476B7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D4136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40"/>
    </w:pPr>
    <w:rPr>
      <w:color w:val="ED4136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b/>
      <w:bCs/>
      <w:caps/>
      <w:color w:val="ED4136" w:themeColor="accent1"/>
      <w:kern w:val="28"/>
      <w:sz w:val="106"/>
      <w:szCs w:val="106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192" w:lineRule="auto"/>
    </w:pPr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D4136" w:themeColor="accent1"/>
    </w:rPr>
  </w:style>
  <w:style w:type="character" w:styleId="Hyperlink">
    <w:name w:val="Hyperlink"/>
    <w:basedOn w:val="DefaultParagraphFont"/>
    <w:uiPriority w:val="99"/>
    <w:unhideWhenUsed/>
    <w:rsid w:val="0055137E"/>
    <w:rPr>
      <w:color w:val="3D537E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659F"/>
    <w:rPr>
      <w:color w:val="604774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9B7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lideshare.net/lmoore130/digital-ssr?ref=http://mooreti.edublogs.org/2012/10/21/digital-ssr-symbaloo-sty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ore4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FEF9B81-C341-4D9A-80F0-7D98730AF8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Laura</dc:creator>
  <cp:keywords/>
  <dc:description/>
  <cp:lastModifiedBy>Moore, Laura</cp:lastModifiedBy>
  <cp:revision>2</cp:revision>
  <cp:lastPrinted>2012-12-25T21:02:00Z</cp:lastPrinted>
  <dcterms:created xsi:type="dcterms:W3CDTF">2014-04-29T13:15:00Z</dcterms:created>
  <dcterms:modified xsi:type="dcterms:W3CDTF">2014-04-29T13:15:00Z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</Properties>
</file>